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E175" w14:textId="0AE12724" w:rsidR="002D3515" w:rsidRPr="00346480" w:rsidRDefault="002D3515" w:rsidP="0076117A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Con motivo </w:t>
      </w:r>
      <w:r w:rsidR="00BE53E9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de la donación de 280 millones de euros por parte de la Fundación Amancio Ortega para la adquisición de 10 equipos de </w:t>
      </w:r>
      <w:proofErr w:type="spellStart"/>
      <w:r w:rsidR="00BE53E9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protonterapia</w:t>
      </w:r>
      <w:proofErr w:type="spellEnd"/>
    </w:p>
    <w:p w14:paraId="190E787D" w14:textId="77777777" w:rsidR="002D3515" w:rsidRPr="00952C84" w:rsidRDefault="002D3515" w:rsidP="0076117A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</w:p>
    <w:p w14:paraId="406B14C8" w14:textId="593839CD" w:rsidR="00282AAB" w:rsidRPr="00804486" w:rsidRDefault="00BE53E9" w:rsidP="0076117A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8044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>SEOR</w:t>
      </w:r>
      <w:r w:rsidR="00804486" w:rsidRPr="008044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 destaca que </w:t>
      </w:r>
      <w:r w:rsidR="008044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la </w:t>
      </w:r>
      <w:r w:rsidR="00804486" w:rsidRPr="008044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>donación</w:t>
      </w:r>
      <w:r w:rsidR="008044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 de la Fundación Amancio Ortega</w:t>
      </w:r>
      <w:r w:rsidR="00804486" w:rsidRPr="008044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 convierte a España en unos de los líderes mundiales en innovación tecnológica en oncología radioterápica</w:t>
      </w:r>
    </w:p>
    <w:p w14:paraId="575045AA" w14:textId="5D0E4510" w:rsidR="00747B62" w:rsidRDefault="00747B62" w:rsidP="0076117A">
      <w:pPr>
        <w:jc w:val="both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</w:pPr>
    </w:p>
    <w:p w14:paraId="077C5D9E" w14:textId="77777777" w:rsidR="00346480" w:rsidRPr="00952C84" w:rsidRDefault="00346480" w:rsidP="0076117A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</w:p>
    <w:p w14:paraId="0670EDCD" w14:textId="5BBBA76D" w:rsidR="009C399E" w:rsidRPr="00346480" w:rsidRDefault="00747B62" w:rsidP="00030BB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Madrid, 2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0 </w:t>
      </w: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de 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octub</w:t>
      </w: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re de 202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1</w:t>
      </w: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-. 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L</w:t>
      </w:r>
      <w:r w:rsidR="003C2720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a </w:t>
      </w:r>
      <w:r w:rsidR="0076117A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Sociedad Española de Oncología Radioterápica</w:t>
      </w:r>
      <w:r w:rsidR="009C399E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(SEOR</w:t>
      </w:r>
      <w:r w:rsidR="0076117A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)</w:t>
      </w:r>
      <w:r w:rsidR="003C2720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celebra y acoge con total </w:t>
      </w:r>
      <w:r w:rsidR="00BE53E9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satisfacción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la donación por parte de la </w:t>
      </w:r>
      <w:r w:rsidR="009C399E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Fundación Amancio Ortega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de 280 millones de euros al Ministerio de Sanidad para la adquisición de 10 equipos de </w:t>
      </w:r>
      <w:proofErr w:type="spellStart"/>
      <w:r w:rsidR="009C399E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protonterapia</w:t>
      </w:r>
      <w:proofErr w:type="spellEnd"/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, un tratamiento puntero de </w:t>
      </w:r>
      <w:r w:rsidR="009C399E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oncología radioterápica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, que serán destinados a hospitales públicos de Barcelona y Madrid (dos en cada ciudad), y también de </w:t>
      </w:r>
      <w:r w:rsidR="00EC39D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La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Coruña, Málaga, Sevilla, Valencia, </w:t>
      </w:r>
      <w:r w:rsidR="00EC39D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V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iz</w:t>
      </w:r>
      <w:r w:rsidR="00EC39D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c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a</w:t>
      </w:r>
      <w:r w:rsidR="00EC39D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y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a y Gran Canaria, según el </w:t>
      </w:r>
      <w:r w:rsidR="009C399E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Plan de Colaboración en la Implantación de la </w:t>
      </w:r>
      <w:proofErr w:type="spellStart"/>
      <w:r w:rsidR="009C399E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Protonterapia</w:t>
      </w:r>
      <w:proofErr w:type="spellEnd"/>
      <w:r w:rsidR="009C399E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en el Sistema Nacional de Salud</w:t>
      </w:r>
      <w:r w:rsidR="009C399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, firmado en la tarde de ayer en el palacio de la Moncloa por la entidad, el Gobierno central y las comunidades autónomas beneficiadas.</w:t>
      </w:r>
    </w:p>
    <w:p w14:paraId="54BE976D" w14:textId="2EC40C89" w:rsidR="009C399E" w:rsidRPr="00346480" w:rsidRDefault="009C399E" w:rsidP="00030BB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p w14:paraId="3221B8BD" w14:textId="620BDB5A" w:rsidR="009C399E" w:rsidRPr="00346480" w:rsidRDefault="009C399E" w:rsidP="00030BB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El </w:t>
      </w:r>
      <w:r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presidente de la SEOR, </w:t>
      </w:r>
      <w:r w:rsidR="00804486"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doctor </w:t>
      </w:r>
      <w:r w:rsidRPr="0034648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Antonio Gómez Caamaño</w:t>
      </w: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, en nombre de esta sociedad médica que agrupa a más de mil facultativos especialistas</w:t>
      </w:r>
      <w:r w:rsidR="00804486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, agradece a</w:t>
      </w:r>
      <w:r w:rsidR="00804486" w:rsidRPr="00346480">
        <w:rPr>
          <w:rFonts w:ascii="Arial" w:hAnsi="Arial" w:cs="Arial"/>
          <w:sz w:val="22"/>
          <w:szCs w:val="22"/>
        </w:rPr>
        <w:t xml:space="preserve"> </w:t>
      </w:r>
      <w:r w:rsidR="00804486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la Fundación Amancio Ortega “la extraordinaria aportación destinada a la implementación de la </w:t>
      </w:r>
      <w:proofErr w:type="spellStart"/>
      <w:r w:rsidR="00804486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protonterapia</w:t>
      </w:r>
      <w:proofErr w:type="spellEnd"/>
      <w:r w:rsidR="00804486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en España, convirtiendo a nuestro país en unos de los líderes mundiales en innovación tecnológica en oncología radioterápica. Esta donación supone un enorme impulso asistencial</w:t>
      </w:r>
      <w:r w:rsidR="007E723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,</w:t>
      </w:r>
      <w:r w:rsidR="00804486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ya que abre nuevas oportunidades de tratamiento en pacientes con tumores “difíciles” o bien con tumores “singulares”, como son aquellos que se presentan en la población pediátrica. Por otro lado, este proyecto supone una fantástica plataforma de investigación interdisciplinar en </w:t>
      </w:r>
      <w:proofErr w:type="spellStart"/>
      <w:r w:rsidR="00804486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radiobiológia</w:t>
      </w:r>
      <w:proofErr w:type="spellEnd"/>
      <w:r w:rsidR="00804486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, estimulando de esa manera el desarrollo de tratamientos oncológicos realmente disruptivos”.</w:t>
      </w:r>
    </w:p>
    <w:p w14:paraId="05411442" w14:textId="2CB2E678" w:rsidR="009C399E" w:rsidRPr="00346480" w:rsidRDefault="009C399E" w:rsidP="00030BB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p w14:paraId="27F08F5D" w14:textId="5A84B3E2" w:rsidR="009C399E" w:rsidRPr="00346480" w:rsidRDefault="009C399E" w:rsidP="009C399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La </w:t>
      </w:r>
      <w:proofErr w:type="spellStart"/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protonterapia</w:t>
      </w:r>
      <w:proofErr w:type="spellEnd"/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es una modalidad especial de radioterapia que utiliza protones en lugar de rayos X o electrones. </w:t>
      </w:r>
      <w:r w:rsidR="00EC39DE"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Esta técnica</w:t>
      </w: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permite una liberación más localizada de la radiación, lo que comporta una mejor distribución de la dosis y una menor irradiación del tejido sano circundante.</w:t>
      </w:r>
    </w:p>
    <w:p w14:paraId="3C5F4B5C" w14:textId="2EDACB7C" w:rsidR="009C399E" w:rsidRPr="00346480" w:rsidRDefault="009C399E" w:rsidP="009C399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p w14:paraId="46D3272D" w14:textId="492031F7" w:rsidR="009C399E" w:rsidRPr="00346480" w:rsidRDefault="009C399E" w:rsidP="00030BB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La SEOR editó el año pasado la primera guía de </w:t>
      </w:r>
      <w:hyperlink r:id="rId7" w:history="1">
        <w:r w:rsidRPr="00346480">
          <w:rPr>
            <w:rStyle w:val="Hipervnculo"/>
            <w:rFonts w:ascii="Arial" w:eastAsia="Times New Roman" w:hAnsi="Arial" w:cs="Arial"/>
            <w:sz w:val="22"/>
            <w:szCs w:val="22"/>
            <w:shd w:val="clear" w:color="auto" w:fill="FFFFFF"/>
            <w:lang w:eastAsia="es-ES_tradnl"/>
          </w:rPr>
          <w:t xml:space="preserve">‘Recomendaciones de la SEOR para la </w:t>
        </w:r>
        <w:proofErr w:type="spellStart"/>
        <w:r w:rsidRPr="00346480">
          <w:rPr>
            <w:rStyle w:val="Hipervnculo"/>
            <w:rFonts w:ascii="Arial" w:eastAsia="Times New Roman" w:hAnsi="Arial" w:cs="Arial"/>
            <w:sz w:val="22"/>
            <w:szCs w:val="22"/>
            <w:shd w:val="clear" w:color="auto" w:fill="FFFFFF"/>
            <w:lang w:eastAsia="es-ES_tradnl"/>
          </w:rPr>
          <w:t>protonterapia</w:t>
        </w:r>
        <w:proofErr w:type="spellEnd"/>
        <w:r w:rsidRPr="00346480">
          <w:rPr>
            <w:rStyle w:val="Hipervnculo"/>
            <w:rFonts w:ascii="Arial" w:eastAsia="Times New Roman" w:hAnsi="Arial" w:cs="Arial"/>
            <w:sz w:val="22"/>
            <w:szCs w:val="22"/>
            <w:shd w:val="clear" w:color="auto" w:fill="FFFFFF"/>
            <w:lang w:eastAsia="es-ES_tradnl"/>
          </w:rPr>
          <w:t xml:space="preserve"> en España</w:t>
        </w:r>
      </w:hyperlink>
      <w:r w:rsidRPr="0034648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’, dirigida a todos los profesionales relacionados con el tratamiento del cáncer. La publicación aborda las ventajas del uso de protones, las evidencias científicas desarrolladas y un recorrido histórico.</w:t>
      </w:r>
    </w:p>
    <w:p w14:paraId="47E5376B" w14:textId="21756106" w:rsidR="00747B29" w:rsidRPr="00952C84" w:rsidRDefault="00747B29" w:rsidP="00747B29">
      <w:pPr>
        <w:pStyle w:val="NormalWeb"/>
        <w:jc w:val="both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952C84">
        <w:rPr>
          <w:rFonts w:ascii="Arial" w:hAnsi="Arial" w:cs="Arial"/>
          <w:b/>
          <w:bCs/>
          <w:color w:val="333333"/>
          <w:sz w:val="20"/>
          <w:szCs w:val="20"/>
        </w:rPr>
        <w:t>Sobre SEO</w:t>
      </w:r>
      <w:r w:rsidR="00D73284">
        <w:rPr>
          <w:rFonts w:ascii="Arial" w:hAnsi="Arial" w:cs="Arial"/>
          <w:b/>
          <w:bCs/>
          <w:color w:val="333333"/>
          <w:sz w:val="20"/>
          <w:szCs w:val="20"/>
        </w:rPr>
        <w:t>R</w:t>
      </w:r>
    </w:p>
    <w:p w14:paraId="48A6A138" w14:textId="0A1DA59E" w:rsidR="00647616" w:rsidRPr="00817A39" w:rsidRDefault="00747B29" w:rsidP="00647616">
      <w:pPr>
        <w:pStyle w:val="NormalWeb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952C84">
        <w:rPr>
          <w:rFonts w:ascii="Arial" w:hAnsi="Arial" w:cs="Arial"/>
          <w:color w:val="333333"/>
          <w:sz w:val="20"/>
          <w:szCs w:val="20"/>
        </w:rPr>
        <w:t>La SEOR (Sociedad Española de Oncología Radioterápica) es una asociación de derecho privado, de carácter científico, sin ánimo de lucro que agrupa a más de mil facultativos especialistas españoles o extranjeros (incluyendo médicos en formación), cuyo trabajo se desarrolla fundamentalmente en el tratamiento del cáncer y otras enfermedades no neoplásicas</w:t>
      </w:r>
      <w:r w:rsidR="00572CF0">
        <w:rPr>
          <w:rFonts w:ascii="Arial" w:hAnsi="Arial" w:cs="Arial"/>
          <w:color w:val="333333"/>
          <w:sz w:val="20"/>
          <w:szCs w:val="20"/>
        </w:rPr>
        <w:t>.</w:t>
      </w:r>
    </w:p>
    <w:p w14:paraId="4CE2D650" w14:textId="77F292C2" w:rsidR="00747B62" w:rsidRPr="00DB500E" w:rsidRDefault="00DB500E" w:rsidP="00DB500E">
      <w:pPr>
        <w:pStyle w:val="NormalWeb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La </w:t>
      </w:r>
      <w:r w:rsidR="00747B29" w:rsidRPr="00952C84">
        <w:rPr>
          <w:rFonts w:ascii="Arial" w:hAnsi="Arial" w:cs="Arial"/>
          <w:color w:val="333333"/>
          <w:sz w:val="20"/>
          <w:szCs w:val="20"/>
        </w:rPr>
        <w:t>SEOR impulsa y desarrolla la investigación, otorga becas de formación, expresa los últimos avances a través de su congreso nacional y tiene acuerdos específicos de colaboración con las principales sociedades y asociaciones oncológicas nacionales y europeas.</w:t>
      </w:r>
    </w:p>
    <w:p w14:paraId="1095D9D5" w14:textId="68866F30" w:rsidR="00747B29" w:rsidRPr="00817A39" w:rsidRDefault="00747B29" w:rsidP="0081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</w:pPr>
      <w:r w:rsidRPr="00817A3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>Más información:</w:t>
      </w:r>
    </w:p>
    <w:p w14:paraId="6FA270D2" w14:textId="2664F677" w:rsidR="00817A39" w:rsidRPr="00346480" w:rsidRDefault="004D2B42" w:rsidP="00346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</w:pPr>
      <w:hyperlink r:id="rId8" w:history="1">
        <w:r w:rsidR="00952C84" w:rsidRPr="00817A39">
          <w:rPr>
            <w:rStyle w:val="Hipervnculo"/>
            <w:rFonts w:ascii="Arial" w:eastAsia="Times New Roman" w:hAnsi="Arial" w:cs="Arial"/>
            <w:spacing w:val="6"/>
            <w:sz w:val="22"/>
            <w:szCs w:val="22"/>
            <w:shd w:val="clear" w:color="auto" w:fill="FFFFFF"/>
            <w:lang w:eastAsia="es-ES_tradnl"/>
          </w:rPr>
          <w:t>prensa@seor.es</w:t>
        </w:r>
      </w:hyperlink>
      <w:r w:rsidR="00346480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        </w:t>
      </w:r>
      <w:r w:rsidR="00377796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      </w:t>
      </w:r>
      <w:r w:rsidR="00747B29" w:rsidRPr="00817A3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Elena Ayuso </w:t>
      </w:r>
      <w:r w:rsidR="00952C84" w:rsidRPr="00817A3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- </w:t>
      </w:r>
      <w:r w:rsidR="00747B29" w:rsidRPr="00817A3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>656 32 19 06</w:t>
      </w:r>
      <w:r w:rsidR="003652C0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 </w:t>
      </w:r>
      <w:r w:rsidR="00346480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          </w:t>
      </w:r>
      <w:hyperlink r:id="rId9" w:history="1">
        <w:r w:rsidR="00346480" w:rsidRPr="002E0FC4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>www.seor.es</w:t>
        </w:r>
      </w:hyperlink>
    </w:p>
    <w:sectPr w:rsidR="00817A39" w:rsidRPr="00346480" w:rsidSect="009A723A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EE7E" w14:textId="77777777" w:rsidR="004D2B42" w:rsidRDefault="004D2B42" w:rsidP="007179F9">
      <w:r>
        <w:separator/>
      </w:r>
    </w:p>
  </w:endnote>
  <w:endnote w:type="continuationSeparator" w:id="0">
    <w:p w14:paraId="6F24C966" w14:textId="77777777" w:rsidR="004D2B42" w:rsidRDefault="004D2B42" w:rsidP="0071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B9ED" w14:textId="77777777" w:rsidR="004D2B42" w:rsidRDefault="004D2B42" w:rsidP="007179F9">
      <w:r>
        <w:separator/>
      </w:r>
    </w:p>
  </w:footnote>
  <w:footnote w:type="continuationSeparator" w:id="0">
    <w:p w14:paraId="4455EECB" w14:textId="77777777" w:rsidR="004D2B42" w:rsidRDefault="004D2B42" w:rsidP="0071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D3BC" w14:textId="6960D836" w:rsidR="007179F9" w:rsidRDefault="007179F9">
    <w:pPr>
      <w:pStyle w:val="Encabezado"/>
    </w:pPr>
    <w:r w:rsidRPr="00747B62">
      <w:rPr>
        <w:rFonts w:ascii="Calibri" w:eastAsia="Times New Roman" w:hAnsi="Calibri" w:cs="Calibri"/>
        <w:noProof/>
        <w:color w:val="000000"/>
        <w:bdr w:val="none" w:sz="0" w:space="0" w:color="auto" w:frame="1"/>
        <w:lang w:eastAsia="es-ES"/>
      </w:rPr>
      <w:drawing>
        <wp:anchor distT="0" distB="0" distL="114300" distR="114300" simplePos="0" relativeHeight="251659264" behindDoc="0" locked="0" layoutInCell="1" allowOverlap="1" wp14:anchorId="6242C68D" wp14:editId="30D33681">
          <wp:simplePos x="0" y="0"/>
          <wp:positionH relativeFrom="column">
            <wp:posOffset>-3810</wp:posOffset>
          </wp:positionH>
          <wp:positionV relativeFrom="paragraph">
            <wp:posOffset>147320</wp:posOffset>
          </wp:positionV>
          <wp:extent cx="1606550" cy="642620"/>
          <wp:effectExtent l="0" t="0" r="6350" b="508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F64AC" w14:textId="12E68268" w:rsidR="007179F9" w:rsidRDefault="007179F9">
    <w:pPr>
      <w:pStyle w:val="Encabezado"/>
    </w:pPr>
  </w:p>
  <w:p w14:paraId="75DDDA7F" w14:textId="17A67EF2" w:rsidR="007179F9" w:rsidRDefault="007179F9">
    <w:pPr>
      <w:pStyle w:val="Encabezado"/>
    </w:pPr>
  </w:p>
  <w:p w14:paraId="3211CD26" w14:textId="582F3A32" w:rsidR="007179F9" w:rsidRPr="007179F9" w:rsidRDefault="007179F9" w:rsidP="007179F9">
    <w:pPr>
      <w:rPr>
        <w:rFonts w:ascii="Times New Roman" w:eastAsia="Times New Roman" w:hAnsi="Times New Roman" w:cs="Times New Roman"/>
        <w:lang w:eastAsia="es-ES_tradnl"/>
      </w:rPr>
    </w:pPr>
    <w:r>
      <w:tab/>
    </w:r>
    <w:r>
      <w:tab/>
    </w:r>
    <w:r>
      <w:tab/>
    </w:r>
    <w:r>
      <w:tab/>
    </w:r>
    <w:r>
      <w:tab/>
      <w:t xml:space="preserve">         </w:t>
    </w:r>
    <w:r w:rsidRPr="00747B62">
      <w:rPr>
        <w:rFonts w:ascii="Calibri" w:eastAsia="Times New Roman" w:hAnsi="Calibri" w:cs="Calibri"/>
        <w:b/>
        <w:bCs/>
        <w:color w:val="808080"/>
        <w:sz w:val="32"/>
        <w:szCs w:val="32"/>
        <w:lang w:eastAsia="es-ES_tradnl"/>
      </w:rPr>
      <w:t>NOTA DE PRENSA</w:t>
    </w:r>
  </w:p>
  <w:p w14:paraId="14348F43" w14:textId="37399A4F" w:rsidR="007179F9" w:rsidRDefault="007179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A7989"/>
    <w:multiLevelType w:val="multilevel"/>
    <w:tmpl w:val="9AE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8F7F1C"/>
    <w:multiLevelType w:val="hybridMultilevel"/>
    <w:tmpl w:val="35683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18"/>
    <w:rsid w:val="000041C5"/>
    <w:rsid w:val="00030BB3"/>
    <w:rsid w:val="00051894"/>
    <w:rsid w:val="000B5C94"/>
    <w:rsid w:val="000F7A5A"/>
    <w:rsid w:val="001629DF"/>
    <w:rsid w:val="001A2C2C"/>
    <w:rsid w:val="00282AAB"/>
    <w:rsid w:val="002D3515"/>
    <w:rsid w:val="00346480"/>
    <w:rsid w:val="003652C0"/>
    <w:rsid w:val="00377796"/>
    <w:rsid w:val="00386234"/>
    <w:rsid w:val="003C2720"/>
    <w:rsid w:val="004A5918"/>
    <w:rsid w:val="004D2B42"/>
    <w:rsid w:val="00572CF0"/>
    <w:rsid w:val="005D1E10"/>
    <w:rsid w:val="00647616"/>
    <w:rsid w:val="006616C0"/>
    <w:rsid w:val="006D22F5"/>
    <w:rsid w:val="006D3849"/>
    <w:rsid w:val="007179F9"/>
    <w:rsid w:val="007338E6"/>
    <w:rsid w:val="00747B29"/>
    <w:rsid w:val="00747B62"/>
    <w:rsid w:val="0076117A"/>
    <w:rsid w:val="00793FB0"/>
    <w:rsid w:val="00797D03"/>
    <w:rsid w:val="007E723C"/>
    <w:rsid w:val="00804486"/>
    <w:rsid w:val="00817A39"/>
    <w:rsid w:val="00845908"/>
    <w:rsid w:val="008F59F3"/>
    <w:rsid w:val="00917D91"/>
    <w:rsid w:val="009309D8"/>
    <w:rsid w:val="00952C84"/>
    <w:rsid w:val="00981C5F"/>
    <w:rsid w:val="0099196E"/>
    <w:rsid w:val="009A723A"/>
    <w:rsid w:val="009C399E"/>
    <w:rsid w:val="00A306CB"/>
    <w:rsid w:val="00AD67B2"/>
    <w:rsid w:val="00B018B6"/>
    <w:rsid w:val="00B36E34"/>
    <w:rsid w:val="00B52029"/>
    <w:rsid w:val="00B95B2D"/>
    <w:rsid w:val="00BD44F7"/>
    <w:rsid w:val="00BE0CCB"/>
    <w:rsid w:val="00BE53E9"/>
    <w:rsid w:val="00C50F76"/>
    <w:rsid w:val="00C842B9"/>
    <w:rsid w:val="00C854AB"/>
    <w:rsid w:val="00CD05CE"/>
    <w:rsid w:val="00D73284"/>
    <w:rsid w:val="00DB0631"/>
    <w:rsid w:val="00DB500E"/>
    <w:rsid w:val="00DE48B9"/>
    <w:rsid w:val="00EB49BE"/>
    <w:rsid w:val="00EC39DE"/>
    <w:rsid w:val="00EE0868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C5C8"/>
  <w15:chartTrackingRefBased/>
  <w15:docId w15:val="{381576A0-3872-3742-822C-691293EC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8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8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3C272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C27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7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9F9"/>
  </w:style>
  <w:style w:type="paragraph" w:styleId="Piedepgina">
    <w:name w:val="footer"/>
    <w:basedOn w:val="Normal"/>
    <w:link w:val="PiedepginaCar"/>
    <w:uiPriority w:val="99"/>
    <w:unhideWhenUsed/>
    <w:rsid w:val="007179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9F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2C84"/>
    <w:rPr>
      <w:color w:val="605E5C"/>
      <w:shd w:val="clear" w:color="auto" w:fill="E1DFDD"/>
    </w:rPr>
  </w:style>
  <w:style w:type="paragraph" w:customStyle="1" w:styleId="Default">
    <w:name w:val="Default"/>
    <w:rsid w:val="009C399E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648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eor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or.es/wp-content/uploads/2020/02/Recomendaciones_Protonterapia_Completo_DIGIT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o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PAUL BONEL AYUSO</dc:creator>
  <cp:keywords/>
  <dc:description/>
  <cp:lastModifiedBy>DIEGO PAUL BONEL AYUSO</cp:lastModifiedBy>
  <cp:revision>5</cp:revision>
  <dcterms:created xsi:type="dcterms:W3CDTF">2021-10-20T09:21:00Z</dcterms:created>
  <dcterms:modified xsi:type="dcterms:W3CDTF">2021-10-20T13:15:00Z</dcterms:modified>
</cp:coreProperties>
</file>