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20D" w:rsidRDefault="008D720D" w:rsidP="00343794">
      <w:pPr>
        <w:ind w:firstLine="708"/>
        <w:jc w:val="both"/>
        <w:rPr>
          <w:rFonts w:ascii="Calibri" w:hAnsi="Calibri" w:cs="Arial"/>
          <w:color w:val="333333"/>
          <w:sz w:val="22"/>
          <w:szCs w:val="22"/>
        </w:rPr>
      </w:pPr>
    </w:p>
    <w:p w:rsidR="008D720D" w:rsidRPr="00343794" w:rsidRDefault="00343794" w:rsidP="00343794">
      <w:pPr>
        <w:jc w:val="both"/>
        <w:rPr>
          <w:rFonts w:ascii="Calibri" w:hAnsi="Calibri" w:cs="Arial"/>
          <w:b/>
          <w:noProof/>
          <w:color w:val="333333"/>
          <w:sz w:val="22"/>
          <w:szCs w:val="22"/>
        </w:rPr>
      </w:pPr>
      <w:r w:rsidRPr="00343794">
        <w:rPr>
          <w:rFonts w:ascii="Calibri" w:hAnsi="Calibri" w:cs="Arial"/>
          <w:b/>
          <w:noProof/>
          <w:color w:val="333333"/>
          <w:sz w:val="22"/>
          <w:szCs w:val="22"/>
        </w:rPr>
        <w:t xml:space="preserve">Braquiterapia exclusiva con semillas </w:t>
      </w:r>
      <w:r w:rsidR="008D720D" w:rsidRPr="00343794">
        <w:rPr>
          <w:rFonts w:ascii="Calibri" w:hAnsi="Calibri" w:cs="Arial"/>
          <w:b/>
          <w:noProof/>
          <w:color w:val="333333"/>
          <w:sz w:val="22"/>
          <w:szCs w:val="22"/>
        </w:rPr>
        <w:t>en pacientes jóvenes menores de 60 años.</w:t>
      </w:r>
    </w:p>
    <w:p w:rsidR="008D720D" w:rsidRPr="00343794" w:rsidRDefault="008D720D" w:rsidP="00343794">
      <w:pPr>
        <w:jc w:val="both"/>
        <w:rPr>
          <w:rFonts w:ascii="Calibri" w:hAnsi="Calibri" w:cs="Arial"/>
          <w:b/>
          <w:noProof/>
          <w:color w:val="333333"/>
          <w:sz w:val="22"/>
          <w:szCs w:val="22"/>
        </w:rPr>
      </w:pPr>
      <w:r w:rsidRPr="00343794">
        <w:rPr>
          <w:rFonts w:ascii="Calibri" w:hAnsi="Calibri" w:cs="Arial"/>
          <w:b/>
          <w:noProof/>
          <w:color w:val="333333"/>
          <w:sz w:val="22"/>
          <w:szCs w:val="22"/>
        </w:rPr>
        <w:t>Elena Villafranca.</w:t>
      </w:r>
    </w:p>
    <w:p w:rsidR="008D720D" w:rsidRPr="00343794" w:rsidRDefault="008D720D" w:rsidP="00343794">
      <w:pPr>
        <w:jc w:val="both"/>
        <w:rPr>
          <w:rFonts w:ascii="Calibri" w:hAnsi="Calibri" w:cs="Arial"/>
          <w:b/>
          <w:noProof/>
          <w:color w:val="333333"/>
          <w:sz w:val="22"/>
          <w:szCs w:val="22"/>
        </w:rPr>
      </w:pPr>
      <w:r w:rsidRPr="00343794">
        <w:rPr>
          <w:rFonts w:ascii="Calibri" w:hAnsi="Calibri" w:cs="Arial"/>
          <w:b/>
          <w:noProof/>
          <w:color w:val="333333"/>
          <w:sz w:val="22"/>
          <w:szCs w:val="22"/>
        </w:rPr>
        <w:t>Servicio de Oncología Radioterápica. Complejo Hospitalario de Navarra. Pamplona</w:t>
      </w:r>
    </w:p>
    <w:p w:rsidR="008D720D" w:rsidRPr="00C5101D" w:rsidRDefault="008D720D" w:rsidP="00343794">
      <w:pPr>
        <w:ind w:firstLine="708"/>
        <w:jc w:val="both"/>
        <w:rPr>
          <w:rFonts w:ascii="Calibri" w:hAnsi="Calibri" w:cs="Arial"/>
          <w:noProof/>
          <w:color w:val="333333"/>
          <w:sz w:val="22"/>
          <w:szCs w:val="22"/>
        </w:rPr>
      </w:pPr>
    </w:p>
    <w:p w:rsidR="008D720D" w:rsidRPr="00343794" w:rsidRDefault="008D720D" w:rsidP="00343794">
      <w:pPr>
        <w:ind w:firstLine="708"/>
        <w:jc w:val="both"/>
        <w:rPr>
          <w:rFonts w:ascii="Calibri" w:hAnsi="Calibri" w:cs="Arial"/>
          <w:b/>
          <w:noProof/>
          <w:color w:val="333333"/>
          <w:sz w:val="22"/>
          <w:szCs w:val="22"/>
        </w:rPr>
      </w:pPr>
      <w:r w:rsidRPr="00343794">
        <w:rPr>
          <w:rFonts w:ascii="Calibri" w:hAnsi="Calibri" w:cs="Arial"/>
          <w:b/>
          <w:noProof/>
          <w:color w:val="333333"/>
          <w:sz w:val="22"/>
          <w:szCs w:val="22"/>
        </w:rPr>
        <w:t>Introducción</w:t>
      </w:r>
    </w:p>
    <w:p w:rsidR="008D720D" w:rsidRPr="00C5101D" w:rsidRDefault="008D720D" w:rsidP="00343794">
      <w:pPr>
        <w:ind w:firstLine="708"/>
        <w:jc w:val="both"/>
        <w:rPr>
          <w:rFonts w:ascii="Calibri" w:hAnsi="Calibri" w:cs="Arial"/>
          <w:noProof/>
          <w:color w:val="333333"/>
          <w:sz w:val="22"/>
          <w:szCs w:val="22"/>
        </w:rPr>
      </w:pPr>
      <w:r w:rsidRPr="00C5101D">
        <w:rPr>
          <w:rFonts w:ascii="Calibri" w:hAnsi="Calibri" w:cs="Arial"/>
          <w:noProof/>
          <w:color w:val="333333"/>
          <w:sz w:val="22"/>
          <w:szCs w:val="22"/>
        </w:rPr>
        <w:t>El diagnóstico de cáncer de próstata en edad joven supone en muchos centros un motivo para recomendar a los pacientes un tratamiento quirúrgico, especialmente por los profesionales que inicialmente reciben al paciente que son los urólogos. Además los propios pacientes al recibir el diagnóstico de la enfermedad se plantean dudas en relación a la toxicidad que puede dejarle los tratamientos radioterápicos a largo plazo, así como la posibilidad de un incremento en el riesgo de segundos tumores.</w:t>
      </w:r>
    </w:p>
    <w:p w:rsidR="008D720D" w:rsidRPr="00C5101D" w:rsidRDefault="008D720D" w:rsidP="00343794">
      <w:pPr>
        <w:ind w:firstLine="708"/>
        <w:jc w:val="both"/>
        <w:rPr>
          <w:rFonts w:ascii="Calibri" w:hAnsi="Calibri" w:cs="Arial"/>
          <w:noProof/>
          <w:color w:val="333333"/>
          <w:sz w:val="22"/>
          <w:szCs w:val="22"/>
        </w:rPr>
      </w:pPr>
      <w:r w:rsidRPr="00C5101D">
        <w:rPr>
          <w:rFonts w:ascii="Calibri" w:hAnsi="Calibri" w:cs="Arial"/>
          <w:noProof/>
          <w:color w:val="333333"/>
          <w:sz w:val="22"/>
          <w:szCs w:val="22"/>
        </w:rPr>
        <w:t>Son escasas la publicaciones de series retrospectivas en la literatura en relación a los resultados en control tumoral y toxicidad a largo plazo, de pacientes jóvenes tratados con Braquiterapia.</w:t>
      </w:r>
    </w:p>
    <w:p w:rsidR="008D720D" w:rsidRPr="00C5101D" w:rsidRDefault="008D720D" w:rsidP="00343794">
      <w:pPr>
        <w:ind w:firstLine="708"/>
        <w:jc w:val="both"/>
        <w:rPr>
          <w:rFonts w:ascii="Calibri" w:hAnsi="Calibri" w:cs="Arial"/>
          <w:noProof/>
          <w:color w:val="333333"/>
          <w:sz w:val="22"/>
          <w:szCs w:val="22"/>
        </w:rPr>
      </w:pPr>
      <w:r w:rsidRPr="00C5101D">
        <w:rPr>
          <w:rFonts w:ascii="Calibri" w:hAnsi="Calibri" w:cs="Arial"/>
          <w:noProof/>
          <w:color w:val="333333"/>
          <w:sz w:val="22"/>
          <w:szCs w:val="22"/>
        </w:rPr>
        <w:t>Merrick G. comunicó los resultados de 119 pacientes menores de 62 años tratados con Braquiterapia exclusiva o combinada con Radioterapia externa en casos de riesgo intermedio y alto. Los resultados de supervivencia libre de fallo bioquímico a 7 años fueron del 98.4%, 100% y 95.2% para los grupos de riesgo bajo, intermedio y alto respectivamente.1 En un análisis posterior incluyendo solo 42 pacientes menores de 50 años, los resultados fueron de supervivencia libre de recidiva bioquímica del 97.7% con mediana de seguimiento de 5.1 años. En relación a la toxicidad por el tratamiento, ningún paciente presentó incontinencia o precis</w:t>
      </w:r>
      <w:r>
        <w:rPr>
          <w:rFonts w:ascii="Calibri" w:hAnsi="Calibri" w:cs="Arial"/>
          <w:noProof/>
          <w:color w:val="333333"/>
          <w:sz w:val="22"/>
          <w:szCs w:val="22"/>
        </w:rPr>
        <w:t>ó</w:t>
      </w:r>
      <w:r w:rsidRPr="00C5101D">
        <w:rPr>
          <w:rFonts w:ascii="Calibri" w:hAnsi="Calibri" w:cs="Arial"/>
          <w:noProof/>
          <w:color w:val="333333"/>
          <w:sz w:val="22"/>
          <w:szCs w:val="22"/>
        </w:rPr>
        <w:t xml:space="preserve"> resección transuretral tras el implante, los hábitos intestinales no se modificaron en el 92.5%, y se preserv</w:t>
      </w:r>
      <w:r>
        <w:rPr>
          <w:rFonts w:ascii="Calibri" w:hAnsi="Calibri" w:cs="Arial"/>
          <w:noProof/>
          <w:color w:val="333333"/>
          <w:sz w:val="22"/>
          <w:szCs w:val="22"/>
        </w:rPr>
        <w:t>ó</w:t>
      </w:r>
      <w:r w:rsidRPr="00C5101D">
        <w:rPr>
          <w:rFonts w:ascii="Calibri" w:hAnsi="Calibri" w:cs="Arial"/>
          <w:noProof/>
          <w:color w:val="333333"/>
          <w:sz w:val="22"/>
          <w:szCs w:val="22"/>
        </w:rPr>
        <w:t xml:space="preserve"> la función eréctil sin tratamiento farmacológico en el 75.6% de los pacientes2. </w:t>
      </w:r>
    </w:p>
    <w:p w:rsidR="008D720D" w:rsidRPr="00C5101D" w:rsidRDefault="008D720D" w:rsidP="00343794">
      <w:pPr>
        <w:ind w:firstLine="708"/>
        <w:jc w:val="both"/>
        <w:rPr>
          <w:rFonts w:ascii="Calibri" w:hAnsi="Calibri" w:cs="Arial"/>
          <w:noProof/>
          <w:color w:val="333333"/>
          <w:sz w:val="22"/>
          <w:szCs w:val="22"/>
        </w:rPr>
      </w:pPr>
      <w:r w:rsidRPr="00C5101D">
        <w:rPr>
          <w:rFonts w:ascii="Calibri" w:hAnsi="Calibri" w:cs="Arial"/>
          <w:noProof/>
          <w:color w:val="333333"/>
          <w:sz w:val="22"/>
          <w:szCs w:val="22"/>
        </w:rPr>
        <w:t>La serie de Toronto con 96 pacientes tratados con Braquiterapia exclusiva, mostr</w:t>
      </w:r>
      <w:r>
        <w:rPr>
          <w:rFonts w:ascii="Calibri" w:hAnsi="Calibri" w:cs="Arial"/>
          <w:noProof/>
          <w:color w:val="333333"/>
          <w:sz w:val="22"/>
          <w:szCs w:val="22"/>
        </w:rPr>
        <w:t>ó</w:t>
      </w:r>
      <w:r w:rsidRPr="00C5101D">
        <w:rPr>
          <w:rFonts w:ascii="Calibri" w:hAnsi="Calibri" w:cs="Arial"/>
          <w:noProof/>
          <w:color w:val="333333"/>
          <w:sz w:val="22"/>
          <w:szCs w:val="22"/>
        </w:rPr>
        <w:t xml:space="preserve"> con una mediana de seguimiento de 63 meses, una supervivencia libre de progresión bioquímica del 98.9% a 9 años, con una baja toxicidad: genitourinaria g2 10.6%, g3 3.2%, gastrointestinal g2 1%; en los pacientes con buena función sexual, ésta se mantuvo en el 93.4% de los pacientes, en casi la mitad de ellos con la utilización de inhibidores de la 5-fosfodiesterasa3. </w:t>
      </w:r>
    </w:p>
    <w:p w:rsidR="008D720D" w:rsidRPr="00C5101D" w:rsidRDefault="008D720D" w:rsidP="00343794">
      <w:pPr>
        <w:ind w:firstLine="708"/>
        <w:jc w:val="both"/>
        <w:rPr>
          <w:rFonts w:ascii="Calibri" w:hAnsi="Calibri" w:cs="Arial"/>
          <w:noProof/>
          <w:color w:val="333333"/>
          <w:sz w:val="22"/>
          <w:szCs w:val="22"/>
        </w:rPr>
      </w:pPr>
      <w:r w:rsidRPr="00C5101D">
        <w:rPr>
          <w:rFonts w:ascii="Calibri" w:hAnsi="Calibri" w:cs="Arial"/>
          <w:noProof/>
          <w:color w:val="333333"/>
          <w:sz w:val="22"/>
          <w:szCs w:val="22"/>
        </w:rPr>
        <w:t>La serie más numerosa publicada corresponde a la serie de Mount Sinai Medical Center, en la que compara la evolución de 378 pacientes menores de 60 años, con 1287 pacientes mayores de 60 años4. Todos ellos eran estadios T1 y T2 en los que se practicó Braquiterapia guiada por imagen ecográfica en tiempo real entre 1990 y 2005. Algunos pacientes recibieron radioterapia externa de forma combinada y tratamiento hormonal. Con una mediana de seguimiento de 66 meses, la Supervivencia libre de fallo bioquímico a 8 años fue del 92% en pacientes menores de 60 años y 87% en mayores de 60 años (p= 0.071). Cuando se analizan las series, los pacientes jóvenes tenían menores Gleason, menor PSA de diagnóstico y más pacientes tenían BED &gt;150 Gy2. Pacientes mayores tenían mayor Gleason, mayor número de pacientes eran riesgo intermedio y alto.</w:t>
      </w:r>
    </w:p>
    <w:p w:rsidR="008D720D" w:rsidRPr="00C5101D" w:rsidRDefault="008D720D" w:rsidP="00343794">
      <w:pPr>
        <w:ind w:firstLine="708"/>
        <w:jc w:val="both"/>
        <w:rPr>
          <w:rFonts w:ascii="Calibri" w:hAnsi="Calibri" w:cs="Arial"/>
          <w:noProof/>
          <w:color w:val="333333"/>
          <w:sz w:val="22"/>
          <w:szCs w:val="22"/>
        </w:rPr>
      </w:pPr>
      <w:r w:rsidRPr="00C5101D">
        <w:rPr>
          <w:rFonts w:ascii="Calibri" w:hAnsi="Calibri" w:cs="Arial"/>
          <w:noProof/>
          <w:color w:val="333333"/>
          <w:sz w:val="22"/>
          <w:szCs w:val="22"/>
        </w:rPr>
        <w:t>En el análisis multivariado de factores pronóstico de recidiva bioquímica, resultaron significativos el Gleason, el PSA inicial, dosis de irradiación pero no la edad de diagnóstico.</w:t>
      </w:r>
    </w:p>
    <w:p w:rsidR="008D720D" w:rsidRPr="00C5101D" w:rsidRDefault="008D720D" w:rsidP="00343794">
      <w:pPr>
        <w:ind w:firstLine="708"/>
        <w:jc w:val="both"/>
        <w:rPr>
          <w:rFonts w:ascii="Calibri" w:hAnsi="Calibri" w:cs="Arial"/>
          <w:noProof/>
          <w:color w:val="333333"/>
          <w:sz w:val="22"/>
          <w:szCs w:val="22"/>
        </w:rPr>
      </w:pPr>
      <w:r w:rsidRPr="00C5101D">
        <w:rPr>
          <w:rFonts w:ascii="Calibri" w:hAnsi="Calibri" w:cs="Arial"/>
          <w:noProof/>
          <w:color w:val="333333"/>
          <w:sz w:val="22"/>
          <w:szCs w:val="22"/>
        </w:rPr>
        <w:t>En relación al riesgo de segundos tumores en el área pélvica, los resultados de diferentes series son variables. En la experiencia de Moon, el número de segundos tumores en pacientes tratados con braquiterapia fue similar a la población general5. En otras series6, existe un incremento en los tumores vesicales, con un aumento del riesgo relativo del 6%.</w:t>
      </w:r>
    </w:p>
    <w:p w:rsidR="008D720D" w:rsidRPr="00C5101D" w:rsidRDefault="008D720D" w:rsidP="00343794">
      <w:pPr>
        <w:ind w:firstLine="708"/>
        <w:jc w:val="both"/>
        <w:rPr>
          <w:rFonts w:ascii="Calibri" w:hAnsi="Calibri" w:cs="Arial"/>
          <w:noProof/>
          <w:color w:val="333333"/>
          <w:sz w:val="22"/>
          <w:szCs w:val="22"/>
        </w:rPr>
      </w:pPr>
      <w:r w:rsidRPr="00C5101D">
        <w:rPr>
          <w:rFonts w:ascii="Calibri" w:hAnsi="Calibri" w:cs="Arial"/>
          <w:noProof/>
          <w:color w:val="333333"/>
          <w:sz w:val="22"/>
          <w:szCs w:val="22"/>
        </w:rPr>
        <w:t xml:space="preserve">En la serie de la Universidad de Yale, tampoco la edad fue un factor pronóstico en la supervivencia libre de fallo bioquímico de pacientes tratados con Braquiterapia. Solo el Gleason , estadio Tumoral y el PSA de diagnóstico fueron factores pronóstico7. </w:t>
      </w:r>
    </w:p>
    <w:p w:rsidR="008D720D" w:rsidRPr="00C5101D" w:rsidRDefault="008D720D" w:rsidP="00343794">
      <w:pPr>
        <w:ind w:firstLine="708"/>
        <w:jc w:val="both"/>
        <w:rPr>
          <w:rFonts w:ascii="Calibri" w:hAnsi="Calibri" w:cs="Arial"/>
          <w:noProof/>
          <w:color w:val="333333"/>
          <w:sz w:val="22"/>
          <w:szCs w:val="22"/>
        </w:rPr>
      </w:pPr>
    </w:p>
    <w:p w:rsidR="008D720D" w:rsidRDefault="008D720D" w:rsidP="00343794">
      <w:pPr>
        <w:ind w:firstLine="708"/>
        <w:jc w:val="both"/>
        <w:rPr>
          <w:rFonts w:ascii="Calibri" w:hAnsi="Calibri" w:cs="Arial"/>
          <w:noProof/>
          <w:color w:val="333333"/>
          <w:sz w:val="22"/>
          <w:szCs w:val="22"/>
        </w:rPr>
      </w:pPr>
    </w:p>
    <w:p w:rsidR="008D720D" w:rsidRPr="00C5101D" w:rsidRDefault="008D720D" w:rsidP="00343794">
      <w:pPr>
        <w:ind w:firstLine="708"/>
        <w:jc w:val="both"/>
        <w:rPr>
          <w:rFonts w:ascii="Calibri" w:hAnsi="Calibri" w:cs="Arial"/>
          <w:noProof/>
          <w:color w:val="333333"/>
          <w:sz w:val="22"/>
          <w:szCs w:val="22"/>
        </w:rPr>
      </w:pPr>
      <w:r w:rsidRPr="00C5101D">
        <w:rPr>
          <w:rFonts w:ascii="Calibri" w:hAnsi="Calibri" w:cs="Arial"/>
          <w:noProof/>
          <w:color w:val="333333"/>
          <w:sz w:val="22"/>
          <w:szCs w:val="22"/>
        </w:rPr>
        <w:t xml:space="preserve">Existe por tanto un interés importante en conocer si los resultados en buen control de enfermedad con escasa toxicidad pueden ser aplicables a población de nuestro entorno, </w:t>
      </w:r>
      <w:r w:rsidRPr="00C5101D">
        <w:rPr>
          <w:rFonts w:ascii="Calibri" w:hAnsi="Calibri" w:cs="Arial"/>
          <w:noProof/>
          <w:color w:val="333333"/>
          <w:sz w:val="22"/>
          <w:szCs w:val="22"/>
        </w:rPr>
        <w:lastRenderedPageBreak/>
        <w:t>población española. Esto modificará las recomendaciones dadas en nuestros hospitales a pacientes jóvenes con cáncer depróstata.</w:t>
      </w:r>
    </w:p>
    <w:p w:rsidR="008D720D" w:rsidRPr="00C5101D" w:rsidRDefault="008D720D" w:rsidP="00343794">
      <w:pPr>
        <w:ind w:firstLine="708"/>
        <w:jc w:val="both"/>
        <w:rPr>
          <w:rFonts w:ascii="Calibri" w:hAnsi="Calibri" w:cs="Arial"/>
          <w:noProof/>
          <w:color w:val="333333"/>
          <w:sz w:val="22"/>
          <w:szCs w:val="22"/>
        </w:rPr>
      </w:pPr>
    </w:p>
    <w:p w:rsidR="008D720D" w:rsidRDefault="008D720D" w:rsidP="00343794">
      <w:pPr>
        <w:ind w:firstLine="708"/>
        <w:jc w:val="both"/>
        <w:rPr>
          <w:rFonts w:ascii="Calibri" w:hAnsi="Calibri" w:cs="Arial"/>
          <w:noProof/>
          <w:color w:val="333333"/>
          <w:sz w:val="22"/>
          <w:szCs w:val="22"/>
        </w:rPr>
      </w:pPr>
    </w:p>
    <w:p w:rsidR="008D720D" w:rsidRPr="008D720D" w:rsidRDefault="008D720D" w:rsidP="00343794">
      <w:pPr>
        <w:ind w:firstLine="708"/>
        <w:jc w:val="both"/>
        <w:rPr>
          <w:rFonts w:ascii="Calibri" w:hAnsi="Calibri" w:cs="Arial"/>
          <w:b/>
          <w:noProof/>
          <w:color w:val="333333"/>
          <w:sz w:val="22"/>
          <w:szCs w:val="22"/>
        </w:rPr>
      </w:pPr>
      <w:r w:rsidRPr="008D720D">
        <w:rPr>
          <w:rFonts w:ascii="Calibri" w:hAnsi="Calibri" w:cs="Arial"/>
          <w:b/>
          <w:noProof/>
          <w:color w:val="333333"/>
          <w:sz w:val="22"/>
          <w:szCs w:val="22"/>
        </w:rPr>
        <w:t xml:space="preserve">Objetivos </w:t>
      </w:r>
    </w:p>
    <w:p w:rsidR="008D720D" w:rsidRPr="00C5101D" w:rsidRDefault="008D720D" w:rsidP="00343794">
      <w:pPr>
        <w:ind w:firstLine="708"/>
        <w:jc w:val="both"/>
        <w:rPr>
          <w:rFonts w:ascii="Calibri" w:hAnsi="Calibri" w:cs="Arial"/>
          <w:noProof/>
          <w:color w:val="333333"/>
          <w:sz w:val="22"/>
          <w:szCs w:val="22"/>
        </w:rPr>
      </w:pPr>
      <w:r w:rsidRPr="00C5101D">
        <w:rPr>
          <w:rFonts w:ascii="Calibri" w:hAnsi="Calibri" w:cs="Arial"/>
          <w:noProof/>
          <w:color w:val="333333"/>
          <w:sz w:val="22"/>
          <w:szCs w:val="22"/>
        </w:rPr>
        <w:t>-</w:t>
      </w:r>
      <w:r w:rsidRPr="00C5101D">
        <w:rPr>
          <w:rFonts w:ascii="Calibri" w:hAnsi="Calibri" w:cs="Arial"/>
          <w:noProof/>
          <w:color w:val="333333"/>
          <w:sz w:val="22"/>
          <w:szCs w:val="22"/>
        </w:rPr>
        <w:tab/>
        <w:t>Identificar qué porcentaje de la población española que recibe Braquiterapia lo hace con edad joven menor de 60 años.</w:t>
      </w:r>
    </w:p>
    <w:p w:rsidR="008D720D" w:rsidRPr="00C5101D" w:rsidRDefault="008D720D" w:rsidP="00343794">
      <w:pPr>
        <w:ind w:firstLine="708"/>
        <w:jc w:val="both"/>
        <w:rPr>
          <w:rFonts w:ascii="Calibri" w:hAnsi="Calibri" w:cs="Arial"/>
          <w:noProof/>
          <w:color w:val="333333"/>
          <w:sz w:val="22"/>
          <w:szCs w:val="22"/>
        </w:rPr>
      </w:pPr>
      <w:r w:rsidRPr="00C5101D">
        <w:rPr>
          <w:rFonts w:ascii="Calibri" w:hAnsi="Calibri" w:cs="Arial"/>
          <w:noProof/>
          <w:color w:val="333333"/>
          <w:sz w:val="22"/>
          <w:szCs w:val="22"/>
        </w:rPr>
        <w:t>-</w:t>
      </w:r>
      <w:r w:rsidRPr="00C5101D">
        <w:rPr>
          <w:rFonts w:ascii="Calibri" w:hAnsi="Calibri" w:cs="Arial"/>
          <w:noProof/>
          <w:color w:val="333333"/>
          <w:sz w:val="22"/>
          <w:szCs w:val="22"/>
        </w:rPr>
        <w:tab/>
        <w:t>Conocer los resultados a largo plazo de la braquiterapia en esta población joven, para asegurar que la edad no es un factor desfavorable en la supervivencia libre de enfermedad de pacientes con cáncer de próstata y que debe ofrecerse a todos los pacientes.</w:t>
      </w:r>
    </w:p>
    <w:p w:rsidR="008D720D" w:rsidRPr="00C5101D" w:rsidRDefault="008D720D" w:rsidP="00343794">
      <w:pPr>
        <w:ind w:firstLine="708"/>
        <w:jc w:val="both"/>
        <w:rPr>
          <w:rFonts w:ascii="Calibri" w:hAnsi="Calibri" w:cs="Arial"/>
          <w:noProof/>
          <w:color w:val="333333"/>
          <w:sz w:val="22"/>
          <w:szCs w:val="22"/>
        </w:rPr>
      </w:pPr>
      <w:r w:rsidRPr="00C5101D">
        <w:rPr>
          <w:rFonts w:ascii="Calibri" w:hAnsi="Calibri" w:cs="Arial"/>
          <w:noProof/>
          <w:color w:val="333333"/>
          <w:sz w:val="22"/>
          <w:szCs w:val="22"/>
        </w:rPr>
        <w:t>o</w:t>
      </w:r>
      <w:r w:rsidRPr="00C5101D">
        <w:rPr>
          <w:rFonts w:ascii="Calibri" w:hAnsi="Calibri" w:cs="Arial"/>
          <w:noProof/>
          <w:color w:val="333333"/>
          <w:sz w:val="22"/>
          <w:szCs w:val="22"/>
        </w:rPr>
        <w:tab/>
        <w:t>Conocer supervivencia libre de enfermedad y supervivencia causa específica a 5 y 10 años.</w:t>
      </w:r>
    </w:p>
    <w:p w:rsidR="008D720D" w:rsidRPr="00C5101D" w:rsidRDefault="008D720D" w:rsidP="00343794">
      <w:pPr>
        <w:ind w:firstLine="708"/>
        <w:jc w:val="both"/>
        <w:rPr>
          <w:rFonts w:ascii="Calibri" w:hAnsi="Calibri" w:cs="Arial"/>
          <w:noProof/>
          <w:color w:val="333333"/>
          <w:sz w:val="22"/>
          <w:szCs w:val="22"/>
        </w:rPr>
      </w:pPr>
      <w:r w:rsidRPr="00C5101D">
        <w:rPr>
          <w:rFonts w:ascii="Calibri" w:hAnsi="Calibri" w:cs="Arial"/>
          <w:noProof/>
          <w:color w:val="333333"/>
          <w:sz w:val="22"/>
          <w:szCs w:val="22"/>
        </w:rPr>
        <w:t>o</w:t>
      </w:r>
      <w:r w:rsidRPr="00C5101D">
        <w:rPr>
          <w:rFonts w:ascii="Calibri" w:hAnsi="Calibri" w:cs="Arial"/>
          <w:noProof/>
          <w:color w:val="333333"/>
          <w:sz w:val="22"/>
          <w:szCs w:val="22"/>
        </w:rPr>
        <w:tab/>
        <w:t xml:space="preserve">Conocer la toxicidad urinaria digestiva y sexual tardía a </w:t>
      </w:r>
      <w:r>
        <w:rPr>
          <w:rFonts w:ascii="Calibri" w:hAnsi="Calibri" w:cs="Arial"/>
          <w:noProof/>
          <w:color w:val="333333"/>
          <w:sz w:val="22"/>
          <w:szCs w:val="22"/>
        </w:rPr>
        <w:t xml:space="preserve">2, </w:t>
      </w:r>
      <w:r w:rsidRPr="00C5101D">
        <w:rPr>
          <w:rFonts w:ascii="Calibri" w:hAnsi="Calibri" w:cs="Arial"/>
          <w:noProof/>
          <w:color w:val="333333"/>
          <w:sz w:val="22"/>
          <w:szCs w:val="22"/>
        </w:rPr>
        <w:t xml:space="preserve">5 y 10 años. </w:t>
      </w:r>
    </w:p>
    <w:p w:rsidR="008D720D" w:rsidRPr="00C5101D" w:rsidRDefault="008D720D" w:rsidP="00343794">
      <w:pPr>
        <w:ind w:firstLine="708"/>
        <w:jc w:val="both"/>
        <w:rPr>
          <w:rFonts w:ascii="Calibri" w:hAnsi="Calibri" w:cs="Arial"/>
          <w:noProof/>
          <w:color w:val="333333"/>
          <w:sz w:val="22"/>
          <w:szCs w:val="22"/>
        </w:rPr>
      </w:pPr>
      <w:r w:rsidRPr="00C5101D">
        <w:rPr>
          <w:rFonts w:ascii="Calibri" w:hAnsi="Calibri" w:cs="Arial"/>
          <w:noProof/>
          <w:color w:val="333333"/>
          <w:sz w:val="22"/>
          <w:szCs w:val="22"/>
        </w:rPr>
        <w:t>o</w:t>
      </w:r>
      <w:r w:rsidRPr="00C5101D">
        <w:rPr>
          <w:rFonts w:ascii="Calibri" w:hAnsi="Calibri" w:cs="Arial"/>
          <w:noProof/>
          <w:color w:val="333333"/>
          <w:sz w:val="22"/>
          <w:szCs w:val="22"/>
        </w:rPr>
        <w:tab/>
        <w:t>Conocer incidencia de segundos tumores en área pélvica relacionados con el tratamiento</w:t>
      </w:r>
    </w:p>
    <w:p w:rsidR="008D720D" w:rsidRDefault="008D720D" w:rsidP="00343794">
      <w:pPr>
        <w:ind w:firstLine="708"/>
        <w:jc w:val="both"/>
        <w:rPr>
          <w:rFonts w:ascii="Calibri" w:hAnsi="Calibri" w:cs="Arial"/>
          <w:noProof/>
          <w:color w:val="333333"/>
          <w:sz w:val="22"/>
          <w:szCs w:val="22"/>
        </w:rPr>
      </w:pPr>
    </w:p>
    <w:p w:rsidR="008D720D" w:rsidRPr="008D720D" w:rsidRDefault="008D720D" w:rsidP="00343794">
      <w:pPr>
        <w:ind w:firstLine="708"/>
        <w:jc w:val="both"/>
        <w:rPr>
          <w:rFonts w:ascii="Calibri" w:hAnsi="Calibri" w:cs="Arial"/>
          <w:b/>
          <w:noProof/>
          <w:color w:val="333333"/>
          <w:sz w:val="22"/>
          <w:szCs w:val="22"/>
        </w:rPr>
      </w:pPr>
      <w:r w:rsidRPr="008D720D">
        <w:rPr>
          <w:rFonts w:ascii="Calibri" w:hAnsi="Calibri" w:cs="Arial"/>
          <w:b/>
          <w:noProof/>
          <w:color w:val="333333"/>
          <w:sz w:val="22"/>
          <w:szCs w:val="22"/>
        </w:rPr>
        <w:t>Material y Métodos.</w:t>
      </w:r>
    </w:p>
    <w:p w:rsidR="008D720D" w:rsidRPr="00C5101D" w:rsidRDefault="008D720D" w:rsidP="00343794">
      <w:pPr>
        <w:ind w:firstLine="708"/>
        <w:jc w:val="both"/>
        <w:rPr>
          <w:rFonts w:ascii="Calibri" w:hAnsi="Calibri" w:cs="Arial"/>
          <w:noProof/>
          <w:color w:val="333333"/>
          <w:sz w:val="22"/>
          <w:szCs w:val="22"/>
        </w:rPr>
      </w:pPr>
      <w:r w:rsidRPr="00C5101D">
        <w:rPr>
          <w:rFonts w:ascii="Calibri" w:hAnsi="Calibri" w:cs="Arial"/>
          <w:noProof/>
          <w:color w:val="333333"/>
          <w:sz w:val="22"/>
          <w:szCs w:val="22"/>
        </w:rPr>
        <w:t>-</w:t>
      </w:r>
      <w:r w:rsidRPr="00C5101D">
        <w:rPr>
          <w:rFonts w:ascii="Calibri" w:hAnsi="Calibri" w:cs="Arial"/>
          <w:noProof/>
          <w:color w:val="333333"/>
          <w:sz w:val="22"/>
          <w:szCs w:val="22"/>
        </w:rPr>
        <w:tab/>
        <w:t xml:space="preserve">Análisis de base de datos RECAP del subgrupo de pacientes que reciben Braquiterapia permanente con semillas, de forma exclusiva o asociada </w:t>
      </w:r>
      <w:r w:rsidR="00343794">
        <w:rPr>
          <w:rFonts w:ascii="Calibri" w:hAnsi="Calibri" w:cs="Arial"/>
          <w:noProof/>
          <w:color w:val="333333"/>
          <w:sz w:val="22"/>
          <w:szCs w:val="22"/>
        </w:rPr>
        <w:t>hormonoterapia neoadyuvante, con edad</w:t>
      </w:r>
      <w:r w:rsidRPr="00C5101D">
        <w:rPr>
          <w:rFonts w:ascii="Calibri" w:hAnsi="Calibri" w:cs="Arial"/>
          <w:noProof/>
          <w:color w:val="333333"/>
          <w:sz w:val="22"/>
          <w:szCs w:val="22"/>
        </w:rPr>
        <w:t xml:space="preserve"> menor </w:t>
      </w:r>
      <w:r w:rsidR="00343794">
        <w:rPr>
          <w:rFonts w:ascii="Calibri" w:hAnsi="Calibri" w:cs="Arial"/>
          <w:noProof/>
          <w:color w:val="333333"/>
          <w:sz w:val="22"/>
          <w:szCs w:val="22"/>
        </w:rPr>
        <w:t>o igual a</w:t>
      </w:r>
      <w:r w:rsidRPr="00C5101D">
        <w:rPr>
          <w:rFonts w:ascii="Calibri" w:hAnsi="Calibri" w:cs="Arial"/>
          <w:noProof/>
          <w:color w:val="333333"/>
          <w:sz w:val="22"/>
          <w:szCs w:val="22"/>
        </w:rPr>
        <w:t xml:space="preserve"> 60 años.</w:t>
      </w:r>
    </w:p>
    <w:p w:rsidR="008D720D" w:rsidRPr="00C5101D" w:rsidRDefault="008D720D" w:rsidP="00343794">
      <w:pPr>
        <w:ind w:firstLine="708"/>
        <w:jc w:val="both"/>
        <w:rPr>
          <w:rFonts w:ascii="Calibri" w:hAnsi="Calibri" w:cs="Arial"/>
          <w:noProof/>
          <w:color w:val="333333"/>
          <w:sz w:val="22"/>
          <w:szCs w:val="22"/>
        </w:rPr>
      </w:pPr>
      <w:r w:rsidRPr="00C5101D">
        <w:rPr>
          <w:rFonts w:ascii="Calibri" w:hAnsi="Calibri" w:cs="Arial"/>
          <w:noProof/>
          <w:color w:val="333333"/>
          <w:sz w:val="22"/>
          <w:szCs w:val="22"/>
        </w:rPr>
        <w:t>-</w:t>
      </w:r>
      <w:r w:rsidRPr="00C5101D">
        <w:rPr>
          <w:rFonts w:ascii="Calibri" w:hAnsi="Calibri" w:cs="Arial"/>
          <w:noProof/>
          <w:color w:val="333333"/>
          <w:sz w:val="22"/>
          <w:szCs w:val="22"/>
        </w:rPr>
        <w:tab/>
        <w:t>Análisis comparativo de escalas IPSS y EPIC en el diagnóstico, a 5 años y 10 años.</w:t>
      </w:r>
    </w:p>
    <w:p w:rsidR="008D720D" w:rsidRPr="00C5101D" w:rsidRDefault="008D720D" w:rsidP="00343794">
      <w:pPr>
        <w:ind w:firstLine="708"/>
        <w:jc w:val="both"/>
        <w:rPr>
          <w:rFonts w:ascii="Calibri" w:hAnsi="Calibri" w:cs="Arial"/>
          <w:noProof/>
          <w:color w:val="333333"/>
          <w:sz w:val="22"/>
          <w:szCs w:val="22"/>
        </w:rPr>
      </w:pPr>
      <w:r w:rsidRPr="00C5101D">
        <w:rPr>
          <w:rFonts w:ascii="Calibri" w:hAnsi="Calibri" w:cs="Arial"/>
          <w:noProof/>
          <w:color w:val="333333"/>
          <w:sz w:val="22"/>
          <w:szCs w:val="22"/>
        </w:rPr>
        <w:t>-</w:t>
      </w:r>
      <w:r w:rsidRPr="00C5101D">
        <w:rPr>
          <w:rFonts w:ascii="Calibri" w:hAnsi="Calibri" w:cs="Arial"/>
          <w:noProof/>
          <w:color w:val="333333"/>
          <w:sz w:val="22"/>
          <w:szCs w:val="22"/>
        </w:rPr>
        <w:tab/>
        <w:t>Análisis de toxicidad tardía urinaria, digestiva o sexual, según escala CTCv.4 tal y como se refleja en la base RECAP.</w:t>
      </w:r>
    </w:p>
    <w:p w:rsidR="008D720D" w:rsidRPr="00C5101D" w:rsidRDefault="008D720D" w:rsidP="00343794">
      <w:pPr>
        <w:ind w:firstLine="708"/>
        <w:jc w:val="both"/>
        <w:rPr>
          <w:rFonts w:ascii="Calibri" w:hAnsi="Calibri" w:cs="Arial"/>
          <w:noProof/>
          <w:color w:val="333333"/>
          <w:sz w:val="22"/>
          <w:szCs w:val="22"/>
        </w:rPr>
      </w:pPr>
      <w:r w:rsidRPr="00C5101D">
        <w:rPr>
          <w:rFonts w:ascii="Calibri" w:hAnsi="Calibri" w:cs="Arial"/>
          <w:noProof/>
          <w:color w:val="333333"/>
          <w:sz w:val="22"/>
          <w:szCs w:val="22"/>
        </w:rPr>
        <w:t>-</w:t>
      </w:r>
      <w:r w:rsidRPr="00C5101D">
        <w:rPr>
          <w:rFonts w:ascii="Calibri" w:hAnsi="Calibri" w:cs="Arial"/>
          <w:noProof/>
          <w:color w:val="333333"/>
          <w:sz w:val="22"/>
          <w:szCs w:val="22"/>
        </w:rPr>
        <w:tab/>
        <w:t xml:space="preserve">Análisis de Supervivencia libre de enfermedad y Supervivencia causa específica así como parámetros de fallo local o sistémico en la serie. </w:t>
      </w:r>
    </w:p>
    <w:p w:rsidR="008D720D" w:rsidRPr="00C5101D" w:rsidRDefault="008D720D" w:rsidP="00343794">
      <w:pPr>
        <w:ind w:firstLine="708"/>
        <w:jc w:val="both"/>
        <w:rPr>
          <w:rFonts w:ascii="Calibri" w:hAnsi="Calibri" w:cs="Arial"/>
          <w:noProof/>
          <w:color w:val="333333"/>
          <w:sz w:val="22"/>
          <w:szCs w:val="22"/>
        </w:rPr>
      </w:pPr>
      <w:r w:rsidRPr="00C5101D">
        <w:rPr>
          <w:rFonts w:ascii="Calibri" w:hAnsi="Calibri" w:cs="Arial"/>
          <w:noProof/>
          <w:color w:val="333333"/>
          <w:sz w:val="22"/>
          <w:szCs w:val="22"/>
        </w:rPr>
        <w:t>-</w:t>
      </w:r>
      <w:r w:rsidRPr="00C5101D">
        <w:rPr>
          <w:rFonts w:ascii="Calibri" w:hAnsi="Calibri" w:cs="Arial"/>
          <w:noProof/>
          <w:color w:val="333333"/>
          <w:sz w:val="22"/>
          <w:szCs w:val="22"/>
        </w:rPr>
        <w:tab/>
        <w:t>Correlación de supervivencia y toxicidad con  factores clínicos y dosimétricos.</w:t>
      </w:r>
    </w:p>
    <w:p w:rsidR="008D720D" w:rsidRPr="00C5101D" w:rsidRDefault="008D720D" w:rsidP="00343794">
      <w:pPr>
        <w:ind w:firstLine="708"/>
        <w:jc w:val="both"/>
        <w:rPr>
          <w:rFonts w:ascii="Calibri" w:hAnsi="Calibri" w:cs="Arial"/>
          <w:noProof/>
          <w:color w:val="333333"/>
          <w:sz w:val="22"/>
          <w:szCs w:val="22"/>
        </w:rPr>
      </w:pPr>
      <w:r w:rsidRPr="00C5101D">
        <w:rPr>
          <w:rFonts w:ascii="Calibri" w:hAnsi="Calibri" w:cs="Arial"/>
          <w:noProof/>
          <w:color w:val="333333"/>
          <w:sz w:val="22"/>
          <w:szCs w:val="22"/>
        </w:rPr>
        <w:t xml:space="preserve"> </w:t>
      </w:r>
    </w:p>
    <w:p w:rsidR="008D720D" w:rsidRPr="00C5101D" w:rsidRDefault="008D720D" w:rsidP="00343794">
      <w:pPr>
        <w:ind w:firstLine="708"/>
        <w:jc w:val="both"/>
        <w:rPr>
          <w:rFonts w:ascii="Calibri" w:hAnsi="Calibri" w:cs="Arial"/>
          <w:noProof/>
          <w:color w:val="333333"/>
          <w:sz w:val="22"/>
          <w:szCs w:val="22"/>
        </w:rPr>
      </w:pPr>
    </w:p>
    <w:p w:rsidR="008D720D" w:rsidRPr="008D720D" w:rsidRDefault="008D720D" w:rsidP="00343794">
      <w:pPr>
        <w:ind w:firstLine="708"/>
        <w:jc w:val="both"/>
        <w:rPr>
          <w:rFonts w:ascii="Calibri" w:hAnsi="Calibri" w:cs="Arial"/>
          <w:b/>
          <w:noProof/>
          <w:color w:val="333333"/>
          <w:sz w:val="22"/>
          <w:szCs w:val="22"/>
          <w:lang w:val="da-DK"/>
        </w:rPr>
      </w:pPr>
      <w:r w:rsidRPr="008D720D">
        <w:rPr>
          <w:rFonts w:ascii="Calibri" w:hAnsi="Calibri" w:cs="Arial"/>
          <w:b/>
          <w:noProof/>
          <w:color w:val="333333"/>
          <w:sz w:val="22"/>
          <w:szCs w:val="22"/>
          <w:lang w:val="da-DK"/>
        </w:rPr>
        <w:t>Bibliografia</w:t>
      </w:r>
    </w:p>
    <w:p w:rsidR="008D720D" w:rsidRPr="00C5101D" w:rsidRDefault="008D720D" w:rsidP="00343794">
      <w:pPr>
        <w:ind w:firstLine="708"/>
        <w:jc w:val="both"/>
        <w:rPr>
          <w:rFonts w:ascii="Calibri" w:hAnsi="Calibri" w:cs="Arial"/>
          <w:noProof/>
          <w:color w:val="333333"/>
          <w:sz w:val="22"/>
          <w:szCs w:val="22"/>
          <w:lang w:val="da-DK"/>
        </w:rPr>
      </w:pPr>
      <w:r w:rsidRPr="00C5101D">
        <w:rPr>
          <w:rFonts w:ascii="Calibri" w:hAnsi="Calibri" w:cs="Arial"/>
          <w:noProof/>
          <w:color w:val="333333"/>
          <w:sz w:val="22"/>
          <w:szCs w:val="22"/>
          <w:lang w:val="da-DK"/>
        </w:rPr>
        <w:t>1.</w:t>
      </w:r>
      <w:r w:rsidRPr="00C5101D">
        <w:rPr>
          <w:rFonts w:ascii="Calibri" w:hAnsi="Calibri" w:cs="Arial"/>
          <w:noProof/>
          <w:color w:val="333333"/>
          <w:sz w:val="22"/>
          <w:szCs w:val="22"/>
          <w:lang w:val="da-DK"/>
        </w:rPr>
        <w:tab/>
        <w:t>Merrick GS et al. Urology 2004; 64: 754-759.</w:t>
      </w:r>
    </w:p>
    <w:p w:rsidR="008D720D" w:rsidRPr="00C5101D" w:rsidRDefault="008D720D" w:rsidP="00343794">
      <w:pPr>
        <w:ind w:firstLine="708"/>
        <w:jc w:val="both"/>
        <w:rPr>
          <w:rFonts w:ascii="Calibri" w:hAnsi="Calibri" w:cs="Arial"/>
          <w:noProof/>
          <w:color w:val="333333"/>
          <w:sz w:val="22"/>
          <w:szCs w:val="22"/>
          <w:lang w:val="da-DK"/>
        </w:rPr>
      </w:pPr>
      <w:r w:rsidRPr="00C5101D">
        <w:rPr>
          <w:rFonts w:ascii="Calibri" w:hAnsi="Calibri" w:cs="Arial"/>
          <w:noProof/>
          <w:color w:val="333333"/>
          <w:sz w:val="22"/>
          <w:szCs w:val="22"/>
          <w:lang w:val="da-DK"/>
        </w:rPr>
        <w:t>2.</w:t>
      </w:r>
      <w:r w:rsidRPr="00C5101D">
        <w:rPr>
          <w:rFonts w:ascii="Calibri" w:hAnsi="Calibri" w:cs="Arial"/>
          <w:noProof/>
          <w:color w:val="333333"/>
          <w:sz w:val="22"/>
          <w:szCs w:val="22"/>
          <w:lang w:val="da-DK"/>
        </w:rPr>
        <w:tab/>
        <w:t>Merrick GS et al. Am J Clin Oncol 2008; 31: 539-544.</w:t>
      </w:r>
    </w:p>
    <w:p w:rsidR="008D720D" w:rsidRPr="00C5101D" w:rsidRDefault="008D720D" w:rsidP="00343794">
      <w:pPr>
        <w:ind w:firstLine="708"/>
        <w:jc w:val="both"/>
        <w:rPr>
          <w:rFonts w:ascii="Calibri" w:hAnsi="Calibri" w:cs="Arial"/>
          <w:noProof/>
          <w:color w:val="333333"/>
          <w:sz w:val="22"/>
          <w:szCs w:val="22"/>
          <w:lang w:val="nl-NL"/>
        </w:rPr>
      </w:pPr>
      <w:r w:rsidRPr="00C5101D">
        <w:rPr>
          <w:rFonts w:ascii="Calibri" w:hAnsi="Calibri" w:cs="Arial"/>
          <w:noProof/>
          <w:color w:val="333333"/>
          <w:sz w:val="22"/>
          <w:szCs w:val="22"/>
          <w:lang w:val="da-DK"/>
        </w:rPr>
        <w:t>3.</w:t>
      </w:r>
      <w:r w:rsidRPr="00C5101D">
        <w:rPr>
          <w:rFonts w:ascii="Calibri" w:hAnsi="Calibri" w:cs="Arial"/>
          <w:noProof/>
          <w:color w:val="333333"/>
          <w:sz w:val="22"/>
          <w:szCs w:val="22"/>
          <w:lang w:val="da-DK"/>
        </w:rPr>
        <w:tab/>
        <w:t xml:space="preserve">Gomez-Iturriaga et al . </w:t>
      </w:r>
      <w:r w:rsidRPr="00C5101D">
        <w:rPr>
          <w:rFonts w:ascii="Calibri" w:hAnsi="Calibri" w:cs="Arial"/>
          <w:noProof/>
          <w:color w:val="333333"/>
          <w:sz w:val="22"/>
          <w:szCs w:val="22"/>
          <w:lang w:val="nl-NL"/>
        </w:rPr>
        <w:t>Brachytherapy 2009; 8: 120 (abst).</w:t>
      </w:r>
    </w:p>
    <w:p w:rsidR="008D720D" w:rsidRPr="00C5101D" w:rsidRDefault="008D720D" w:rsidP="00343794">
      <w:pPr>
        <w:ind w:firstLine="708"/>
        <w:jc w:val="both"/>
        <w:rPr>
          <w:rFonts w:ascii="Calibri" w:hAnsi="Calibri" w:cs="Arial"/>
          <w:noProof/>
          <w:color w:val="333333"/>
          <w:sz w:val="22"/>
          <w:szCs w:val="22"/>
          <w:lang w:val="en-GB"/>
        </w:rPr>
      </w:pPr>
      <w:r w:rsidRPr="00C5101D">
        <w:rPr>
          <w:rFonts w:ascii="Calibri" w:hAnsi="Calibri" w:cs="Arial"/>
          <w:noProof/>
          <w:color w:val="333333"/>
          <w:sz w:val="22"/>
          <w:szCs w:val="22"/>
          <w:lang w:val="nl-NL"/>
        </w:rPr>
        <w:t>4.</w:t>
      </w:r>
      <w:r w:rsidRPr="00C5101D">
        <w:rPr>
          <w:rFonts w:ascii="Calibri" w:hAnsi="Calibri" w:cs="Arial"/>
          <w:noProof/>
          <w:color w:val="333333"/>
          <w:sz w:val="22"/>
          <w:szCs w:val="22"/>
          <w:lang w:val="nl-NL"/>
        </w:rPr>
        <w:tab/>
        <w:t xml:space="preserve">Burri RJ et al. </w:t>
      </w:r>
      <w:r w:rsidRPr="00C5101D">
        <w:rPr>
          <w:rFonts w:ascii="Calibri" w:hAnsi="Calibri" w:cs="Arial"/>
          <w:noProof/>
          <w:color w:val="333333"/>
          <w:sz w:val="22"/>
          <w:szCs w:val="22"/>
          <w:lang w:val="en-GB"/>
        </w:rPr>
        <w:t xml:space="preserve">Int J Radiat Oncol Biol Phys 2010, 77: 1315-1321. </w:t>
      </w:r>
    </w:p>
    <w:p w:rsidR="008D720D" w:rsidRPr="00C5101D" w:rsidRDefault="008D720D" w:rsidP="00343794">
      <w:pPr>
        <w:ind w:firstLine="708"/>
        <w:jc w:val="both"/>
        <w:rPr>
          <w:rFonts w:ascii="Calibri" w:hAnsi="Calibri" w:cs="Arial"/>
          <w:noProof/>
          <w:color w:val="333333"/>
          <w:sz w:val="22"/>
          <w:szCs w:val="22"/>
          <w:lang w:val="da-DK"/>
        </w:rPr>
      </w:pPr>
      <w:r w:rsidRPr="00C5101D">
        <w:rPr>
          <w:rFonts w:ascii="Calibri" w:hAnsi="Calibri" w:cs="Arial"/>
          <w:noProof/>
          <w:color w:val="333333"/>
          <w:sz w:val="22"/>
          <w:szCs w:val="22"/>
          <w:lang w:val="da-DK"/>
        </w:rPr>
        <w:t>5.</w:t>
      </w:r>
      <w:r w:rsidRPr="00C5101D">
        <w:rPr>
          <w:rFonts w:ascii="Calibri" w:hAnsi="Calibri" w:cs="Arial"/>
          <w:noProof/>
          <w:color w:val="333333"/>
          <w:sz w:val="22"/>
          <w:szCs w:val="22"/>
          <w:lang w:val="da-DK"/>
        </w:rPr>
        <w:tab/>
        <w:t>Moon k et al. Cancer 2006; 107: 991-998.</w:t>
      </w:r>
    </w:p>
    <w:p w:rsidR="008D720D" w:rsidRPr="00C5101D" w:rsidRDefault="008D720D" w:rsidP="00343794">
      <w:pPr>
        <w:ind w:firstLine="708"/>
        <w:jc w:val="both"/>
        <w:rPr>
          <w:rFonts w:ascii="Calibri" w:hAnsi="Calibri" w:cs="Arial"/>
          <w:noProof/>
          <w:color w:val="333333"/>
          <w:sz w:val="22"/>
          <w:szCs w:val="22"/>
          <w:lang w:val="en-GB"/>
        </w:rPr>
      </w:pPr>
      <w:r w:rsidRPr="00C5101D">
        <w:rPr>
          <w:rFonts w:ascii="Calibri" w:hAnsi="Calibri" w:cs="Arial"/>
          <w:noProof/>
          <w:color w:val="333333"/>
          <w:sz w:val="22"/>
          <w:szCs w:val="22"/>
          <w:lang w:val="da-DK"/>
        </w:rPr>
        <w:t>6.</w:t>
      </w:r>
      <w:r w:rsidRPr="00C5101D">
        <w:rPr>
          <w:rFonts w:ascii="Calibri" w:hAnsi="Calibri" w:cs="Arial"/>
          <w:noProof/>
          <w:color w:val="333333"/>
          <w:sz w:val="22"/>
          <w:szCs w:val="22"/>
          <w:lang w:val="da-DK"/>
        </w:rPr>
        <w:tab/>
        <w:t xml:space="preserve">Abdel-Wahab et al. </w:t>
      </w:r>
      <w:r w:rsidRPr="00C5101D">
        <w:rPr>
          <w:rFonts w:ascii="Calibri" w:hAnsi="Calibri" w:cs="Arial"/>
          <w:noProof/>
          <w:color w:val="333333"/>
          <w:sz w:val="22"/>
          <w:szCs w:val="22"/>
          <w:lang w:val="en-GB"/>
        </w:rPr>
        <w:t>Int J Radiat Oncol Biol Phys 2008; 72: 58-68.</w:t>
      </w:r>
    </w:p>
    <w:p w:rsidR="008D720D" w:rsidRDefault="008D720D" w:rsidP="00343794">
      <w:pPr>
        <w:jc w:val="both"/>
        <w:rPr>
          <w:rFonts w:ascii="Calibri" w:hAnsi="Calibri" w:cs="Arial"/>
          <w:noProof/>
          <w:color w:val="333333"/>
          <w:sz w:val="22"/>
          <w:szCs w:val="22"/>
        </w:rPr>
      </w:pPr>
      <w:r>
        <w:rPr>
          <w:rFonts w:ascii="Calibri" w:hAnsi="Calibri" w:cs="Arial"/>
          <w:noProof/>
          <w:color w:val="333333"/>
          <w:sz w:val="22"/>
          <w:szCs w:val="22"/>
        </w:rPr>
        <w:t xml:space="preserve">              </w:t>
      </w:r>
      <w:r w:rsidRPr="00C5101D">
        <w:rPr>
          <w:rFonts w:ascii="Calibri" w:hAnsi="Calibri" w:cs="Arial"/>
          <w:noProof/>
          <w:color w:val="333333"/>
          <w:sz w:val="22"/>
          <w:szCs w:val="22"/>
        </w:rPr>
        <w:t>7.</w:t>
      </w:r>
      <w:r w:rsidRPr="00C5101D">
        <w:rPr>
          <w:rFonts w:ascii="Calibri" w:hAnsi="Calibri" w:cs="Arial"/>
          <w:noProof/>
          <w:color w:val="333333"/>
          <w:sz w:val="22"/>
          <w:szCs w:val="22"/>
        </w:rPr>
        <w:tab/>
        <w:t>Peschel RE et al. Cancer J 2006; 12: 305-8.</w:t>
      </w:r>
    </w:p>
    <w:p w:rsidR="008D720D" w:rsidRDefault="008D720D" w:rsidP="00343794">
      <w:pPr>
        <w:jc w:val="both"/>
        <w:rPr>
          <w:rFonts w:ascii="Calibri" w:hAnsi="Calibri" w:cs="Arial"/>
          <w:noProof/>
          <w:color w:val="333333"/>
          <w:sz w:val="22"/>
          <w:szCs w:val="22"/>
        </w:rPr>
      </w:pPr>
    </w:p>
    <w:sectPr w:rsidR="008D720D" w:rsidSect="00F97BC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8D720D"/>
    <w:rsid w:val="00343794"/>
    <w:rsid w:val="008D720D"/>
    <w:rsid w:val="00F97BC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20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896</Words>
  <Characters>4933</Characters>
  <Application>Microsoft Office Word</Application>
  <DocSecurity>0</DocSecurity>
  <Lines>41</Lines>
  <Paragraphs>11</Paragraphs>
  <ScaleCrop>false</ScaleCrop>
  <Company/>
  <LinksUpToDate>false</LinksUpToDate>
  <CharactersWithSpaces>5818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dc:creator>
  <cp:lastModifiedBy>Augusto</cp:lastModifiedBy>
  <cp:revision>2</cp:revision>
  <dcterms:created xsi:type="dcterms:W3CDTF">2015-02-23T18:37:00Z</dcterms:created>
  <dcterms:modified xsi:type="dcterms:W3CDTF">2015-02-23T18:41:00Z</dcterms:modified>
</cp:coreProperties>
</file>